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99FD8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A02CDC">
        <w:t>4 – Practical 1</w:t>
      </w:r>
    </w:p>
    <w:p w14:paraId="0B66074D" w14:textId="77777777" w:rsidR="00F419E7" w:rsidRPr="00324660" w:rsidRDefault="00A02CDC" w:rsidP="0019329D">
      <w:pPr>
        <w:pStyle w:val="Heading2"/>
        <w:spacing w:after="120"/>
        <w:rPr>
          <w:i/>
        </w:rPr>
      </w:pPr>
      <w:r>
        <w:rPr>
          <w:i/>
        </w:rPr>
        <w:t>Setting up a mesocosm</w:t>
      </w:r>
    </w:p>
    <w:p w14:paraId="6432C2AD" w14:textId="77777777" w:rsidR="0019329D" w:rsidRDefault="0019329D" w:rsidP="00826D2F">
      <w:pPr>
        <w:pStyle w:val="Heading3"/>
      </w:pPr>
      <w:r>
        <w:t>Safety</w:t>
      </w:r>
    </w:p>
    <w:p w14:paraId="3E125D6D" w14:textId="77777777" w:rsidR="00F92BD4" w:rsidRDefault="00F92BD4" w:rsidP="00F92BD4">
      <w:pPr>
        <w:pStyle w:val="Liststyle"/>
        <w:ind w:left="426" w:hanging="426"/>
      </w:pPr>
      <w:r>
        <w:sym w:font="Symbol" w:char="F0B7"/>
      </w:r>
      <w:r>
        <w:tab/>
        <w:t>There are no specific safety hazards associated with this practical.</w:t>
      </w:r>
    </w:p>
    <w:p w14:paraId="214FFC97" w14:textId="77777777" w:rsidR="00295E4C" w:rsidRDefault="00295E4C" w:rsidP="0019329D">
      <w:pPr>
        <w:pStyle w:val="Heading3"/>
      </w:pPr>
      <w:r>
        <w:t>Apparatus and materials</w:t>
      </w:r>
    </w:p>
    <w:p w14:paraId="1499DE3C" w14:textId="4EE29DF7" w:rsidR="00295E4C" w:rsidRDefault="00826D2F" w:rsidP="00826D2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C368CB">
        <w:t>a</w:t>
      </w:r>
      <w:proofErr w:type="gramEnd"/>
      <w:r w:rsidR="00C368CB">
        <w:t xml:space="preserve"> </w:t>
      </w:r>
      <w:r w:rsidR="00A02CDC">
        <w:t>large glass container, such as a carbo</w:t>
      </w:r>
      <w:r>
        <w:t>y, with a narrow, sealable neck</w:t>
      </w:r>
    </w:p>
    <w:p w14:paraId="6DEF722B" w14:textId="77777777" w:rsidR="00A02CDC" w:rsidRDefault="00826D2F" w:rsidP="00826D2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good-</w:t>
      </w:r>
      <w:r w:rsidR="007A3F99">
        <w:t>quality</w:t>
      </w:r>
      <w:proofErr w:type="gramEnd"/>
      <w:r w:rsidR="007A3F99">
        <w:t xml:space="preserve"> potting c</w:t>
      </w:r>
      <w:r w:rsidR="00A02CDC">
        <w:t>ompost</w:t>
      </w:r>
    </w:p>
    <w:p w14:paraId="15FBDBAD" w14:textId="77777777" w:rsidR="00702979" w:rsidRDefault="00826D2F" w:rsidP="00826D2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grit</w:t>
      </w:r>
      <w:proofErr w:type="gramEnd"/>
      <w:r>
        <w:t xml:space="preserve"> </w:t>
      </w:r>
      <w:r w:rsidR="00702979">
        <w:t>or shingle</w:t>
      </w:r>
    </w:p>
    <w:p w14:paraId="7A273FA8" w14:textId="533D4264" w:rsidR="00A02CDC" w:rsidRPr="00295E4C" w:rsidRDefault="00826D2F" w:rsidP="00826D2F">
      <w:pPr>
        <w:pStyle w:val="Liststyle"/>
        <w:ind w:left="426" w:hanging="426"/>
      </w:pPr>
      <w:r>
        <w:sym w:font="Symbol" w:char="F0B7"/>
      </w:r>
      <w:r>
        <w:tab/>
      </w:r>
      <w:r w:rsidR="00C368CB">
        <w:t xml:space="preserve">a </w:t>
      </w:r>
      <w:r w:rsidR="00A02CDC">
        <w:t xml:space="preserve">selection of small plants such as small ferns (indoor </w:t>
      </w:r>
      <w:r>
        <w:t>‘</w:t>
      </w:r>
      <w:r w:rsidR="00A02CDC">
        <w:t>maidenhair</w:t>
      </w:r>
      <w:r>
        <w:t>’</w:t>
      </w:r>
      <w:r w:rsidR="00A02CDC">
        <w:t xml:space="preserve"> or </w:t>
      </w:r>
      <w:proofErr w:type="spellStart"/>
      <w:r w:rsidR="00A02CDC" w:rsidRPr="00A02CDC">
        <w:rPr>
          <w:i/>
        </w:rPr>
        <w:t>Adiantum</w:t>
      </w:r>
      <w:proofErr w:type="spellEnd"/>
      <w:r w:rsidR="00A02CDC" w:rsidRPr="00A02CDC">
        <w:rPr>
          <w:i/>
        </w:rPr>
        <w:t xml:space="preserve"> </w:t>
      </w:r>
      <w:r w:rsidR="00A02CDC" w:rsidRPr="00826D2F">
        <w:t>sp</w:t>
      </w:r>
      <w:r w:rsidR="002B50FC">
        <w:t>.</w:t>
      </w:r>
      <w:r w:rsidR="00A02CDC">
        <w:t xml:space="preserve">), </w:t>
      </w:r>
      <w:proofErr w:type="spellStart"/>
      <w:r w:rsidR="00A02CDC" w:rsidRPr="00A02CDC">
        <w:rPr>
          <w:i/>
        </w:rPr>
        <w:t>Tradescantia</w:t>
      </w:r>
      <w:proofErr w:type="spellEnd"/>
      <w:r w:rsidR="00A02CDC" w:rsidRPr="00A02CDC">
        <w:rPr>
          <w:i/>
        </w:rPr>
        <w:t xml:space="preserve"> </w:t>
      </w:r>
      <w:r w:rsidR="00A02CDC" w:rsidRPr="00826D2F">
        <w:t>sp</w:t>
      </w:r>
      <w:r w:rsidR="002B50FC">
        <w:t>.</w:t>
      </w:r>
      <w:r w:rsidR="00A02CDC">
        <w:t xml:space="preserve"> and small </w:t>
      </w:r>
      <w:proofErr w:type="spellStart"/>
      <w:r w:rsidR="00A02CDC" w:rsidRPr="00A02CDC">
        <w:rPr>
          <w:i/>
        </w:rPr>
        <w:t>Chlorophytum</w:t>
      </w:r>
      <w:proofErr w:type="spellEnd"/>
      <w:r w:rsidR="00A02CDC" w:rsidRPr="00A02CDC">
        <w:rPr>
          <w:i/>
        </w:rPr>
        <w:t xml:space="preserve"> </w:t>
      </w:r>
      <w:r w:rsidR="00A02CDC" w:rsidRPr="00826D2F">
        <w:t>sp</w:t>
      </w:r>
      <w:r w:rsidR="002B50FC">
        <w:t>.</w:t>
      </w:r>
      <w:r w:rsidR="00A02CDC">
        <w:t xml:space="preserve">, small trailing plants such as </w:t>
      </w:r>
      <w:proofErr w:type="spellStart"/>
      <w:r w:rsidR="00A02CDC" w:rsidRPr="00A02CDC">
        <w:rPr>
          <w:i/>
        </w:rPr>
        <w:t>So</w:t>
      </w:r>
      <w:r>
        <w:rPr>
          <w:i/>
        </w:rPr>
        <w:t>l</w:t>
      </w:r>
      <w:r w:rsidR="00A02CDC" w:rsidRPr="00A02CDC">
        <w:rPr>
          <w:i/>
        </w:rPr>
        <w:t>eirolia</w:t>
      </w:r>
      <w:proofErr w:type="spellEnd"/>
      <w:r w:rsidR="00A02CDC" w:rsidRPr="00A02CDC">
        <w:rPr>
          <w:i/>
        </w:rPr>
        <w:t xml:space="preserve"> </w:t>
      </w:r>
      <w:r w:rsidR="00A02CDC" w:rsidRPr="00826D2F">
        <w:t>sp</w:t>
      </w:r>
      <w:r w:rsidR="002B50FC">
        <w:t>.</w:t>
      </w:r>
      <w:r w:rsidR="00A02CDC">
        <w:t xml:space="preserve"> (</w:t>
      </w:r>
      <w:r>
        <w:t>‘</w:t>
      </w:r>
      <w:r w:rsidR="00A02CDC">
        <w:t>Mind your own business</w:t>
      </w:r>
      <w:r>
        <w:t>’</w:t>
      </w:r>
      <w:r w:rsidR="00A02CDC">
        <w:t>) or other su</w:t>
      </w:r>
      <w:r>
        <w:t>itable plants available locally</w:t>
      </w:r>
    </w:p>
    <w:p w14:paraId="4EC1F8A1" w14:textId="77777777" w:rsidR="00295E4C" w:rsidRDefault="00295E4C" w:rsidP="0019329D">
      <w:pPr>
        <w:pStyle w:val="Heading3"/>
      </w:pPr>
      <w:r>
        <w:t>Introduction</w:t>
      </w:r>
    </w:p>
    <w:p w14:paraId="026C2836" w14:textId="77777777" w:rsidR="00702979" w:rsidRPr="00702979" w:rsidRDefault="00702979" w:rsidP="00702979">
      <w:pPr>
        <w:rPr>
          <w:szCs w:val="22"/>
        </w:rPr>
      </w:pPr>
      <w:r w:rsidRPr="00973AE6">
        <w:rPr>
          <w:bCs/>
          <w:color w:val="000000"/>
          <w:szCs w:val="22"/>
          <w:lang w:val="en" w:eastAsia="en-GB"/>
        </w:rPr>
        <w:t xml:space="preserve">The idea of a </w:t>
      </w:r>
      <w:r>
        <w:rPr>
          <w:bCs/>
          <w:color w:val="000000"/>
          <w:szCs w:val="22"/>
          <w:lang w:val="en" w:eastAsia="en-GB"/>
        </w:rPr>
        <w:t xml:space="preserve">mesocosm </w:t>
      </w:r>
      <w:r w:rsidRPr="00973AE6">
        <w:rPr>
          <w:bCs/>
          <w:color w:val="000000"/>
          <w:szCs w:val="22"/>
          <w:lang w:val="en" w:eastAsia="en-GB"/>
        </w:rPr>
        <w:t xml:space="preserve">is to create a </w:t>
      </w:r>
      <w:r>
        <w:rPr>
          <w:bCs/>
          <w:color w:val="000000"/>
          <w:szCs w:val="22"/>
          <w:lang w:val="en" w:eastAsia="en-GB"/>
        </w:rPr>
        <w:t>self-sustaining environment in a small enclosed space.</w:t>
      </w:r>
      <w:r w:rsidR="00826D2F">
        <w:rPr>
          <w:bCs/>
          <w:color w:val="000000"/>
          <w:szCs w:val="22"/>
          <w:lang w:val="en" w:eastAsia="en-GB"/>
        </w:rPr>
        <w:t xml:space="preserve"> </w:t>
      </w:r>
      <w:r>
        <w:rPr>
          <w:bCs/>
          <w:color w:val="000000"/>
          <w:szCs w:val="22"/>
          <w:lang w:val="en" w:eastAsia="en-GB"/>
        </w:rPr>
        <w:t>Such systems may be terrestrial or aquatic.</w:t>
      </w:r>
      <w:r w:rsidR="00826D2F">
        <w:rPr>
          <w:bCs/>
          <w:color w:val="000000"/>
          <w:szCs w:val="22"/>
          <w:lang w:val="en" w:eastAsia="en-GB"/>
        </w:rPr>
        <w:t xml:space="preserve"> </w:t>
      </w:r>
      <w:r>
        <w:rPr>
          <w:bCs/>
          <w:color w:val="000000"/>
          <w:szCs w:val="22"/>
          <w:lang w:val="en" w:eastAsia="en-GB"/>
        </w:rPr>
        <w:t>Each</w:t>
      </w:r>
      <w:r w:rsidRPr="00973AE6">
        <w:rPr>
          <w:bCs/>
          <w:color w:val="000000"/>
          <w:szCs w:val="22"/>
          <w:lang w:val="en" w:eastAsia="en-GB"/>
        </w:rPr>
        <w:t xml:space="preserve"> ha</w:t>
      </w:r>
      <w:r>
        <w:rPr>
          <w:bCs/>
          <w:color w:val="000000"/>
          <w:szCs w:val="22"/>
          <w:lang w:val="en" w:eastAsia="en-GB"/>
        </w:rPr>
        <w:t>s</w:t>
      </w:r>
      <w:r w:rsidRPr="00973AE6">
        <w:rPr>
          <w:bCs/>
          <w:color w:val="000000"/>
          <w:szCs w:val="22"/>
          <w:lang w:val="en" w:eastAsia="en-GB"/>
        </w:rPr>
        <w:t xml:space="preserve"> its own special </w:t>
      </w:r>
      <w:r>
        <w:rPr>
          <w:bCs/>
          <w:color w:val="000000"/>
          <w:szCs w:val="22"/>
          <w:lang w:val="en" w:eastAsia="en-GB"/>
        </w:rPr>
        <w:t>characteristics</w:t>
      </w:r>
      <w:r w:rsidRPr="00973AE6">
        <w:rPr>
          <w:bCs/>
          <w:color w:val="000000"/>
          <w:szCs w:val="22"/>
          <w:lang w:val="en" w:eastAsia="en-GB"/>
        </w:rPr>
        <w:t xml:space="preserve"> and should require little maintenance</w:t>
      </w:r>
      <w:r>
        <w:rPr>
          <w:bCs/>
          <w:color w:val="000000"/>
          <w:szCs w:val="22"/>
          <w:lang w:val="en" w:eastAsia="en-GB"/>
        </w:rPr>
        <w:t xml:space="preserve"> in the short term.</w:t>
      </w:r>
      <w:r w:rsidR="00826D2F">
        <w:rPr>
          <w:bCs/>
          <w:color w:val="000000"/>
          <w:szCs w:val="22"/>
          <w:lang w:val="en" w:eastAsia="en-GB"/>
        </w:rPr>
        <w:t xml:space="preserve"> </w:t>
      </w:r>
      <w:r>
        <w:rPr>
          <w:bCs/>
          <w:color w:val="000000"/>
          <w:szCs w:val="22"/>
          <w:lang w:val="en" w:eastAsia="en-GB"/>
        </w:rPr>
        <w:t>The longest established terrestrial mesocosm survived for more than 50 years with minimal maintenance.</w:t>
      </w:r>
      <w:r w:rsidR="00826D2F">
        <w:rPr>
          <w:bCs/>
          <w:color w:val="000000"/>
          <w:szCs w:val="22"/>
          <w:lang w:val="en" w:eastAsia="en-GB"/>
        </w:rPr>
        <w:t xml:space="preserve"> </w:t>
      </w:r>
      <w:r>
        <w:rPr>
          <w:bCs/>
          <w:color w:val="000000"/>
          <w:szCs w:val="22"/>
          <w:lang w:val="en" w:eastAsia="en-GB"/>
        </w:rPr>
        <w:t>Larger scale mecososms are used by scientists to study the effect of environmental changes and model the breakdown of toxic substances in the environment.</w:t>
      </w:r>
    </w:p>
    <w:p w14:paraId="0A4F4C6E" w14:textId="77777777" w:rsidR="0019329D" w:rsidRDefault="00295E4C" w:rsidP="0019329D">
      <w:pPr>
        <w:pStyle w:val="Heading3"/>
      </w:pPr>
      <w:r>
        <w:t>Procedure</w:t>
      </w:r>
    </w:p>
    <w:p w14:paraId="1F33BCE8" w14:textId="77777777" w:rsidR="00F419E7" w:rsidRDefault="00826D2F" w:rsidP="00826D2F">
      <w:pPr>
        <w:ind w:left="426" w:hanging="426"/>
      </w:pPr>
      <w:r w:rsidRPr="00826D2F">
        <w:rPr>
          <w:b/>
        </w:rPr>
        <w:t>1</w:t>
      </w:r>
      <w:r>
        <w:tab/>
      </w:r>
      <w:r w:rsidR="00702979">
        <w:t>Use a large spoon to insert a layer of grit on the bottom of the glass container.</w:t>
      </w:r>
    </w:p>
    <w:p w14:paraId="1EE2C972" w14:textId="77777777" w:rsidR="00295E4C" w:rsidRDefault="00826D2F" w:rsidP="00826D2F">
      <w:pPr>
        <w:ind w:left="426" w:hanging="426"/>
      </w:pPr>
      <w:r w:rsidRPr="00826D2F">
        <w:rPr>
          <w:b/>
        </w:rPr>
        <w:t>2</w:t>
      </w:r>
      <w:r>
        <w:tab/>
      </w:r>
      <w:r w:rsidR="00702979">
        <w:t xml:space="preserve">Cover this </w:t>
      </w:r>
      <w:r w:rsidR="00545604">
        <w:t xml:space="preserve">layer with compost to a depth </w:t>
      </w:r>
      <w:r>
        <w:t>that</w:t>
      </w:r>
      <w:r w:rsidR="00702979">
        <w:t xml:space="preserve"> will accommodate the roots of the plants and is suitable for the size of the container</w:t>
      </w:r>
      <w:r>
        <w:t xml:space="preserve"> (approximately 6–8 cm)</w:t>
      </w:r>
      <w:r w:rsidR="00702979">
        <w:t>.</w:t>
      </w:r>
    </w:p>
    <w:p w14:paraId="7D56D557" w14:textId="77777777" w:rsidR="00702979" w:rsidRDefault="00826D2F" w:rsidP="00826D2F">
      <w:pPr>
        <w:ind w:left="426" w:hanging="426"/>
      </w:pPr>
      <w:r w:rsidRPr="00826D2F">
        <w:rPr>
          <w:b/>
        </w:rPr>
        <w:t>3</w:t>
      </w:r>
      <w:r>
        <w:tab/>
      </w:r>
      <w:r w:rsidR="00702979">
        <w:t>Introduce the plants</w:t>
      </w:r>
      <w:r>
        <w:t>,</w:t>
      </w:r>
      <w:r w:rsidR="00702979">
        <w:t xml:space="preserve"> using a stick or tongs to manipulate them into place and position their roots in the </w:t>
      </w:r>
      <w:r>
        <w:t>compost</w:t>
      </w:r>
      <w:r w:rsidR="00702979">
        <w:t>.</w:t>
      </w:r>
      <w:r>
        <w:t xml:space="preserve"> </w:t>
      </w:r>
      <w:r w:rsidR="00702979">
        <w:t>Use small plants and space them evenly.</w:t>
      </w:r>
    </w:p>
    <w:p w14:paraId="074378A3" w14:textId="77777777" w:rsidR="00702979" w:rsidRDefault="00826D2F" w:rsidP="00826D2F">
      <w:pPr>
        <w:ind w:left="426" w:hanging="426"/>
      </w:pPr>
      <w:r w:rsidRPr="00826D2F">
        <w:rPr>
          <w:b/>
        </w:rPr>
        <w:t>4</w:t>
      </w:r>
      <w:r>
        <w:tab/>
      </w:r>
      <w:r w:rsidR="00702979">
        <w:t xml:space="preserve">Cover the </w:t>
      </w:r>
      <w:r>
        <w:t xml:space="preserve">compost </w:t>
      </w:r>
      <w:r w:rsidR="00702979">
        <w:t>between the plants with a thin layer of grit to keep the compost in place.</w:t>
      </w:r>
    </w:p>
    <w:p w14:paraId="4277B10C" w14:textId="77777777" w:rsidR="00702979" w:rsidRDefault="00826D2F" w:rsidP="00826D2F">
      <w:pPr>
        <w:ind w:left="426" w:hanging="426"/>
      </w:pPr>
      <w:r w:rsidRPr="00826D2F">
        <w:rPr>
          <w:b/>
        </w:rPr>
        <w:t>5</w:t>
      </w:r>
      <w:r>
        <w:tab/>
      </w:r>
      <w:r w:rsidR="00702979">
        <w:t>Add a small amount of water to the container but do not over water as this will lead to decay of the plants</w:t>
      </w:r>
      <w:r>
        <w:t>,</w:t>
      </w:r>
      <w:r w:rsidR="00702979">
        <w:t xml:space="preserve"> and fungal growth.</w:t>
      </w:r>
    </w:p>
    <w:p w14:paraId="04CFFD2B" w14:textId="77777777" w:rsidR="00702979" w:rsidRDefault="00826D2F" w:rsidP="00826D2F">
      <w:pPr>
        <w:ind w:left="426" w:hanging="426"/>
      </w:pPr>
      <w:r w:rsidRPr="00826D2F">
        <w:rPr>
          <w:b/>
        </w:rPr>
        <w:t>6</w:t>
      </w:r>
      <w:r>
        <w:tab/>
      </w:r>
      <w:r w:rsidR="00702979">
        <w:t>Place the mesocosm in well-lit positio</w:t>
      </w:r>
      <w:r>
        <w:t xml:space="preserve">n but away from </w:t>
      </w:r>
      <w:r w:rsidR="00702979">
        <w:t>windows</w:t>
      </w:r>
      <w:r>
        <w:t xml:space="preserve"> that receive a great deal of intense sunlight</w:t>
      </w:r>
      <w:r w:rsidR="00702979">
        <w:t>.</w:t>
      </w:r>
    </w:p>
    <w:p w14:paraId="3A300C00" w14:textId="77777777" w:rsidR="00702979" w:rsidRDefault="00826D2F" w:rsidP="00826D2F">
      <w:pPr>
        <w:ind w:left="426" w:hanging="426"/>
      </w:pPr>
      <w:r w:rsidRPr="00826D2F">
        <w:rPr>
          <w:b/>
        </w:rPr>
        <w:t>7</w:t>
      </w:r>
      <w:r>
        <w:tab/>
      </w:r>
      <w:r w:rsidR="00702979">
        <w:t>Seal the container tightly.</w:t>
      </w:r>
    </w:p>
    <w:p w14:paraId="60492A60" w14:textId="77777777" w:rsidR="00702979" w:rsidRDefault="00826D2F" w:rsidP="00826D2F">
      <w:pPr>
        <w:ind w:left="426" w:hanging="426"/>
      </w:pPr>
      <w:r w:rsidRPr="00826D2F">
        <w:rPr>
          <w:b/>
        </w:rPr>
        <w:t>8</w:t>
      </w:r>
      <w:r>
        <w:tab/>
      </w:r>
      <w:r w:rsidR="00702979">
        <w:t>The plants will grow over a period of weeks and months.</w:t>
      </w:r>
      <w:r>
        <w:t xml:space="preserve"> </w:t>
      </w:r>
      <w:r w:rsidR="00702979">
        <w:t xml:space="preserve">In the early stages it may be necessary to adjust the water in the </w:t>
      </w:r>
      <w:r>
        <w:t xml:space="preserve">container </w:t>
      </w:r>
      <w:r w:rsidR="00702979">
        <w:t>but otherwise the container should not be opened.</w:t>
      </w:r>
    </w:p>
    <w:p w14:paraId="71EB7E90" w14:textId="77777777" w:rsidR="00295E4C" w:rsidRDefault="00295E4C" w:rsidP="00295E4C">
      <w:pPr>
        <w:pStyle w:val="Heading3"/>
      </w:pPr>
      <w:r>
        <w:t>Questions</w:t>
      </w:r>
      <w:r w:rsidR="00702979">
        <w:t xml:space="preserve"> and further work</w:t>
      </w:r>
    </w:p>
    <w:p w14:paraId="72634469" w14:textId="77777777" w:rsidR="00826D2F" w:rsidRPr="00826D2F" w:rsidRDefault="00826D2F" w:rsidP="00826D2F">
      <w:r>
        <w:t>Note your responses on separate paper.</w:t>
      </w:r>
    </w:p>
    <w:p w14:paraId="654451C6" w14:textId="77777777" w:rsidR="00702979" w:rsidRDefault="00702979" w:rsidP="00826D2F">
      <w:pPr>
        <w:pStyle w:val="Question"/>
        <w:tabs>
          <w:tab w:val="clear" w:pos="567"/>
        </w:tabs>
        <w:ind w:left="426" w:hanging="426"/>
      </w:pPr>
      <w:r w:rsidRPr="00826D2F">
        <w:rPr>
          <w:b/>
        </w:rPr>
        <w:t>1</w:t>
      </w:r>
      <w:r w:rsidR="00826D2F">
        <w:tab/>
      </w:r>
      <w:r>
        <w:t>Make careful observations of the mesocosm.</w:t>
      </w:r>
      <w:r w:rsidR="00826D2F">
        <w:t xml:space="preserve"> </w:t>
      </w:r>
      <w:r>
        <w:t>Note the appearance of water vapour on the insides of the container and the times when this occurs.</w:t>
      </w:r>
    </w:p>
    <w:p w14:paraId="09020CD9" w14:textId="77777777" w:rsidR="00702979" w:rsidRDefault="00702979" w:rsidP="00826D2F">
      <w:pPr>
        <w:pStyle w:val="Question"/>
        <w:tabs>
          <w:tab w:val="clear" w:pos="567"/>
        </w:tabs>
        <w:ind w:left="426" w:hanging="426"/>
      </w:pPr>
      <w:r w:rsidRPr="00826D2F">
        <w:rPr>
          <w:b/>
        </w:rPr>
        <w:t>2</w:t>
      </w:r>
      <w:r w:rsidR="00826D2F">
        <w:tab/>
      </w:r>
      <w:r w:rsidR="007A3F99">
        <w:t>Estimate the relative growth rates of the different plants in the container.</w:t>
      </w:r>
      <w:r w:rsidR="00826D2F">
        <w:t xml:space="preserve"> </w:t>
      </w:r>
      <w:r w:rsidR="007A3F99">
        <w:t>Assess the effects that each has on the others.</w:t>
      </w:r>
    </w:p>
    <w:p w14:paraId="2EB3943C" w14:textId="77777777" w:rsidR="007A3F99" w:rsidRDefault="007A3F99" w:rsidP="00826D2F">
      <w:pPr>
        <w:pStyle w:val="Question"/>
        <w:tabs>
          <w:tab w:val="clear" w:pos="567"/>
        </w:tabs>
        <w:ind w:left="426" w:hanging="426"/>
      </w:pPr>
      <w:r w:rsidRPr="00826D2F">
        <w:rPr>
          <w:b/>
        </w:rPr>
        <w:t>3</w:t>
      </w:r>
      <w:r w:rsidR="00826D2F">
        <w:tab/>
      </w:r>
      <w:r>
        <w:t>Research the potential use of plants as ‘scrubbers’ to remove pollutants in space stations.</w:t>
      </w:r>
      <w:r w:rsidR="00826D2F">
        <w:t xml:space="preserve"> </w:t>
      </w:r>
      <w:r>
        <w:t>Can a space station be considered to be a larger version of a mesocosm?</w:t>
      </w:r>
    </w:p>
    <w:p w14:paraId="3A4A8C80" w14:textId="77777777" w:rsidR="007A3F99" w:rsidRPr="00702979" w:rsidRDefault="00545604" w:rsidP="00826D2F">
      <w:pPr>
        <w:pStyle w:val="Question"/>
        <w:tabs>
          <w:tab w:val="clear" w:pos="567"/>
        </w:tabs>
        <w:ind w:left="426" w:hanging="426"/>
      </w:pPr>
      <w:r w:rsidRPr="00826D2F">
        <w:rPr>
          <w:b/>
        </w:rPr>
        <w:t>4</w:t>
      </w:r>
      <w:r w:rsidR="00826D2F">
        <w:tab/>
      </w:r>
      <w:r>
        <w:t>Use</w:t>
      </w:r>
      <w:r w:rsidR="007A3F99">
        <w:t xml:space="preserve"> the ‘systems’ approach to discuss the mesocosm.</w:t>
      </w:r>
      <w:r w:rsidR="00826D2F">
        <w:t xml:space="preserve"> </w:t>
      </w:r>
      <w:r w:rsidR="007A3F99">
        <w:t>What are the inputs and outputs of the system?</w:t>
      </w:r>
      <w:r w:rsidR="00826D2F">
        <w:t xml:space="preserve"> </w:t>
      </w:r>
      <w:r w:rsidR="007A3F99">
        <w:t>Is the system open or closed?</w:t>
      </w:r>
    </w:p>
    <w:sectPr w:rsidR="007A3F99" w:rsidRPr="007029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B6852" w14:textId="77777777" w:rsidR="00620FDA" w:rsidRDefault="00620FDA">
      <w:r>
        <w:separator/>
      </w:r>
    </w:p>
  </w:endnote>
  <w:endnote w:type="continuationSeparator" w:id="0">
    <w:p w14:paraId="78EC43E5" w14:textId="77777777" w:rsidR="00620FDA" w:rsidRDefault="0062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9E030" w14:textId="77777777" w:rsidR="00E40CB6" w:rsidRDefault="00E40C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6EABE" w14:textId="1CA4D0C5" w:rsidR="00CF1450" w:rsidRDefault="00E40CB6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324660">
      <w:t xml:space="preserve"> Cambridge University Press 2014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1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F62A9" w14:textId="77777777" w:rsidR="00E40CB6" w:rsidRDefault="00E40C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0C919" w14:textId="77777777" w:rsidR="00620FDA" w:rsidRDefault="00620FDA">
      <w:r>
        <w:separator/>
      </w:r>
    </w:p>
  </w:footnote>
  <w:footnote w:type="continuationSeparator" w:id="0">
    <w:p w14:paraId="31A1E9AA" w14:textId="77777777" w:rsidR="00620FDA" w:rsidRDefault="00620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55C28" w14:textId="77777777" w:rsidR="00E40CB6" w:rsidRDefault="00E40C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3490B" w14:textId="77777777" w:rsidR="00CF1450" w:rsidRDefault="00BF528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59FFC148" wp14:editId="43A6DC1F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E4C">
      <w:t>Biology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E1A6A" w14:textId="77777777" w:rsidR="00E40CB6" w:rsidRDefault="00E40C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340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B107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F9B0717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D27A2A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1C61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40C5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50BB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142F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4E2A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E6CE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D2F5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7CF8D17A"/>
    <w:lvl w:ilvl="0" w:tplc="246A6338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906F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006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22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C0B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840B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96A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4AD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80BA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113667"/>
    <w:rsid w:val="0019329D"/>
    <w:rsid w:val="00295E4C"/>
    <w:rsid w:val="002B50FC"/>
    <w:rsid w:val="00324660"/>
    <w:rsid w:val="003401EA"/>
    <w:rsid w:val="00340CF5"/>
    <w:rsid w:val="00382EB2"/>
    <w:rsid w:val="00545604"/>
    <w:rsid w:val="00593726"/>
    <w:rsid w:val="005E7A7F"/>
    <w:rsid w:val="00620FDA"/>
    <w:rsid w:val="00622ACD"/>
    <w:rsid w:val="00626016"/>
    <w:rsid w:val="00663570"/>
    <w:rsid w:val="00670D11"/>
    <w:rsid w:val="00702979"/>
    <w:rsid w:val="007A3F99"/>
    <w:rsid w:val="00826D2F"/>
    <w:rsid w:val="00853FFF"/>
    <w:rsid w:val="008D5B74"/>
    <w:rsid w:val="00946092"/>
    <w:rsid w:val="009F2AA1"/>
    <w:rsid w:val="00A02CDC"/>
    <w:rsid w:val="00B615FB"/>
    <w:rsid w:val="00B977F1"/>
    <w:rsid w:val="00BC351A"/>
    <w:rsid w:val="00BF5280"/>
    <w:rsid w:val="00C368CB"/>
    <w:rsid w:val="00CC2500"/>
    <w:rsid w:val="00CF1450"/>
    <w:rsid w:val="00D1407C"/>
    <w:rsid w:val="00E40CB6"/>
    <w:rsid w:val="00E97361"/>
    <w:rsid w:val="00ED6943"/>
    <w:rsid w:val="00F419E7"/>
    <w:rsid w:val="00F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91114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32A30-C312-4813-805D-2E68297C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0</TotalTime>
  <Pages>1</Pages>
  <Words>447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2014-04-23T06:41:00Z</cp:lastPrinted>
  <dcterms:created xsi:type="dcterms:W3CDTF">2014-04-18T11:01:00Z</dcterms:created>
  <dcterms:modified xsi:type="dcterms:W3CDTF">2014-05-21T14:02:00Z</dcterms:modified>
</cp:coreProperties>
</file>